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rFonts w:ascii="Calibri" w:cs="Calibri" w:eastAsia="Calibri" w:hAnsi="Calibri"/>
          <w:b/>
          <w:bCs/>
          <w:color w:val="1B2A5C"/>
          <w:spacing w:val="30"/>
          <w:sz w:val="44"/>
          <w:szCs w:val="44"/>
        </w:rPr>
        <w:t xml:space="preserve">WILLIAM F. LEACH JR.</w:t>
      </w:r>
    </w:p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4A4A4A"/>
          <w:sz w:val="19"/>
          <w:szCs w:val="19"/>
        </w:rPr>
        <w:t xml:space="preserve">CISSP  |  CRISC  |  CGEIT  |  PMP  |  CEH  |  CCSFP  |  CMMC CCP</w:t>
      </w:r>
    </w:p>
    <w:p>
      <w:pPr>
        <w:pBdr>
          <w:bottom w:val="single" w:color="A9832F" w:sz="12" w:space="4"/>
        </w:pBdr>
        <w:spacing w:after="50"/>
        <w:jc w:val="center"/>
      </w:pPr>
      <w:r>
        <w:rPr>
          <w:rFonts w:ascii="Calibri" w:cs="Calibri" w:eastAsia="Calibri" w:hAnsi="Calibri"/>
          <w:b/>
          <w:bCs/>
          <w:color w:val="1B2A5C"/>
          <w:sz w:val="22"/>
          <w:szCs w:val="22"/>
        </w:rPr>
        <w:t xml:space="preserve">Chief Information Security Officer  |  Cyber Assurance &amp; GRC Executive  |  Author, </w:t>
      </w:r>
      <w:r>
        <w:rPr>
          <w:rFonts w:ascii="Calibri" w:cs="Calibri" w:eastAsia="Calibri" w:hAnsi="Calibri"/>
          <w:b/>
          <w:bCs/>
          <w:i/>
          <w:iCs/>
          <w:color w:val="1B2A5C"/>
          <w:sz w:val="22"/>
          <w:szCs w:val="22"/>
        </w:rPr>
        <w:t xml:space="preserve">The Assurance Gap</w:t>
      </w:r>
    </w:p>
    <w:p>
      <w:pPr>
        <w:spacing w:after="0"/>
        <w:jc w:val="center"/>
      </w:pPr>
      <w:r>
        <w:rPr>
          <w:rFonts w:ascii="Calibri" w:cs="Calibri" w:eastAsia="Calibri" w:hAnsi="Calibri"/>
          <w:sz w:val="20"/>
          <w:szCs w:val="20"/>
        </w:rPr>
        <w:t xml:space="preserve">Prairieville, LA  |  </w:t>
      </w:r>
      <w:hyperlink w:history="1" r:id="rIdhrluppybzntyntr2iwprr">
        <w:r>
          <w:rPr>
            <w:rFonts w:ascii="Calibri" w:cs="Calibri" w:eastAsia="Calibri" w:hAnsi="Calibri"/>
            <w:color w:val="1B2A5C"/>
            <w:sz w:val="20"/>
            <w:szCs w:val="20"/>
          </w:rPr>
          <w:t xml:space="preserve">wfleachjr@icloud.com</w:t>
        </w:r>
      </w:hyperlink>
      <w:r>
        <w:rPr>
          <w:rFonts w:ascii="Calibri" w:cs="Calibri" w:eastAsia="Calibri" w:hAnsi="Calibri"/>
          <w:sz w:val="20"/>
          <w:szCs w:val="20"/>
        </w:rPr>
        <w:t xml:space="preserve">  |  </w:t>
      </w:r>
      <w:hyperlink w:history="1" r:id="rIdc3po3p0wwxnpii8b_dvui">
        <w:r>
          <w:rPr>
            <w:rFonts w:ascii="Calibri" w:cs="Calibri" w:eastAsia="Calibri" w:hAnsi="Calibri"/>
            <w:color w:val="1B2A5C"/>
            <w:sz w:val="20"/>
            <w:szCs w:val="20"/>
          </w:rPr>
          <w:t xml:space="preserve">linkedin.com/in/william-leach-jr-590a6614</w:t>
        </w:r>
      </w:hyperlink>
      <w:r>
        <w:rPr>
          <w:rFonts w:ascii="Calibri" w:cs="Calibri" w:eastAsia="Calibri" w:hAnsi="Calibri"/>
          <w:sz w:val="20"/>
          <w:szCs w:val="20"/>
        </w:rPr>
        <w:t xml:space="preserve">  |  </w:t>
      </w:r>
      <w:hyperlink w:history="1" r:id="rId5rsoo7wcquflf-q8473ti">
        <w:r>
          <w:rPr>
            <w:rFonts w:ascii="Calibri" w:cs="Calibri" w:eastAsia="Calibri" w:hAnsi="Calibri"/>
            <w:color w:val="1B2A5C"/>
            <w:sz w:val="20"/>
            <w:szCs w:val="20"/>
          </w:rPr>
          <w:t xml:space="preserve">williamleachjr.com</w:t>
        </w:r>
      </w:hyperlink>
    </w:p>
    <w:p>
      <w:pPr>
        <w:spacing w:after="40"/>
        <w:jc w:val="center"/>
      </w:pPr>
      <w:r>
        <w:rPr>
          <w:rFonts w:ascii="Calibri" w:cs="Calibri" w:eastAsia="Calibri" w:hAnsi="Calibri"/>
          <w:i/>
          <w:iCs/>
          <w:color w:val="4A4A4A"/>
          <w:sz w:val="20"/>
          <w:szCs w:val="20"/>
        </w:rPr>
        <w:t xml:space="preserve">U.S. Navy Veteran (20 years)  |  Held Top Secret clearance (U.S. Navy)  |  Open to remote, hybrid, or on-site roles</w:t>
      </w:r>
    </w:p>
    <w:p>
      <w:pPr>
        <w:pStyle w:val="Heading1"/>
        <w:keepNext/>
        <w:pBdr>
          <w:bottom w:val="single" w:color="1B2A5C" w:sz="6" w:space="2"/>
        </w:pBdr>
        <w:spacing w:after="60" w:before="150"/>
      </w:pPr>
      <w:r>
        <w:rPr>
          <w:rFonts w:ascii="Calibri" w:cs="Calibri" w:eastAsia="Calibri" w:hAnsi="Calibri"/>
          <w:b/>
          <w:bCs/>
          <w:color w:val="1B2A5C"/>
          <w:spacing w:val="20"/>
          <w:sz w:val="22"/>
          <w:szCs w:val="22"/>
        </w:rPr>
        <w:t xml:space="preserve">EXECUTIVE SUMMARY</w:t>
      </w:r>
    </w:p>
    <w:p>
      <w:pPr>
        <w:spacing w:after="50" w:before="0" w:line="252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Cybersecurity executive and former bank CISO and CIO with 20+ years building and leading cybersecurity, IT risk, and compliance programs across banking, healthcare, critical infrastructure, managed security services, and the U.S. Navy. Builds programs from inception: two security operations centers, a de novo healthcare security program certified to HITRUST CSF in 11 months, and a bank information security program run under FDIC/FFIEC examination. Has led cross-functional teams of 400+ and budgets to $8.2M, and briefs CEOs, boards, regulators, and insurers in business terms. Author of 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The Assurance Gap</w:t>
      </w:r>
      <w:r>
        <w:rPr>
          <w:rFonts w:ascii="Calibri" w:cs="Calibri" w:eastAsia="Calibri" w:hAnsi="Calibri"/>
          <w:sz w:val="21"/>
          <w:szCs w:val="21"/>
        </w:rPr>
        <w:t xml:space="preserve"> (2026), which defines the independent Cyber Assurance Officer role, and architect of the CyberCAAT cyber-GRC platform.</w:t>
      </w:r>
    </w:p>
    <w:p>
      <w:pPr>
        <w:pStyle w:val="Heading1"/>
        <w:keepNext/>
        <w:pBdr>
          <w:bottom w:val="single" w:color="1B2A5C" w:sz="6" w:space="2"/>
        </w:pBdr>
        <w:spacing w:after="60" w:before="150"/>
      </w:pPr>
      <w:r>
        <w:rPr>
          <w:rFonts w:ascii="Calibri" w:cs="Calibri" w:eastAsia="Calibri" w:hAnsi="Calibri"/>
          <w:b/>
          <w:bCs/>
          <w:color w:val="1B2A5C"/>
          <w:spacing w:val="20"/>
          <w:sz w:val="22"/>
          <w:szCs w:val="22"/>
        </w:rPr>
        <w:t xml:space="preserve">CAREER HIGHLIGHTS</w:t>
      </w:r>
    </w:p>
    <w:p>
      <w:pPr>
        <w:pStyle w:val="ListParagraph"/>
        <w:numPr>
          <w:ilvl w:val="0"/>
          <w:numId w:val="2"/>
        </w:numPr>
        <w:spacing w:after="20" w:line="248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Security operations: </w:t>
      </w:r>
      <w:r>
        <w:rPr>
          <w:rFonts w:ascii="Calibri" w:cs="Calibri" w:eastAsia="Calibri" w:hAnsi="Calibri"/>
          <w:sz w:val="21"/>
          <w:szCs w:val="21"/>
        </w:rPr>
        <w:t xml:space="preserve">Built and led two SOC teams and scaled an MSSP practice to $3.4M in revenue serving 500+ MSP clients; added vCISO services that substantially increased billable contribution.</w:t>
      </w:r>
    </w:p>
    <w:p>
      <w:pPr>
        <w:pStyle w:val="ListParagraph"/>
        <w:numPr>
          <w:ilvl w:val="0"/>
          <w:numId w:val="2"/>
        </w:numPr>
        <w:spacing w:after="20" w:line="248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Assessment at scale: </w:t>
      </w:r>
      <w:r>
        <w:rPr>
          <w:rFonts w:ascii="Calibri" w:cs="Calibri" w:eastAsia="Calibri" w:hAnsi="Calibri"/>
          <w:sz w:val="21"/>
          <w:szCs w:val="21"/>
        </w:rPr>
        <w:t xml:space="preserve">Executed 1,000+ security risk assessments and 50+ penetration tests and vulnerability assessments; led 4 organizations through HITRUST transitions covering 900+ security controls; wrote 20+ business continuity and disaster recovery plans and multiple COOP plans for federal entities.</w:t>
      </w:r>
    </w:p>
    <w:p>
      <w:pPr>
        <w:pStyle w:val="ListParagraph"/>
        <w:numPr>
          <w:ilvl w:val="0"/>
          <w:numId w:val="2"/>
        </w:numPr>
        <w:spacing w:after="20" w:line="248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Regulated banking: </w:t>
      </w:r>
      <w:r>
        <w:rPr>
          <w:rFonts w:ascii="Calibri" w:cs="Calibri" w:eastAsia="Calibri" w:hAnsi="Calibri"/>
          <w:sz w:val="21"/>
          <w:szCs w:val="21"/>
        </w:rPr>
        <w:t xml:space="preserve">As CISO of a publicly traded bank, kept 840 endpoints at 100% compliance with FFIEC/FDIC and PCI DSS, cut critical vulnerabilities 90%, and reduced phishing incidents 70%; promoted to CIO within four months and rated Distinguished, the bank's highest rating.</w:t>
      </w:r>
    </w:p>
    <w:p>
      <w:pPr>
        <w:pStyle w:val="ListParagraph"/>
        <w:numPr>
          <w:ilvl w:val="0"/>
          <w:numId w:val="2"/>
        </w:numPr>
        <w:spacing w:after="20" w:line="248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Transformation: </w:t>
      </w:r>
      <w:r>
        <w:rPr>
          <w:rFonts w:ascii="Calibri" w:cs="Calibri" w:eastAsia="Calibri" w:hAnsi="Calibri"/>
          <w:sz w:val="21"/>
          <w:szCs w:val="21"/>
        </w:rPr>
        <w:t xml:space="preserve">Led a digital overhaul integrating 80+ IT projects that improved operational efficiency 34%; RPA/iPaaS initiatives saved 15,000 hours of manual labor and lifted banking process efficiency 20%+.</w:t>
      </w:r>
    </w:p>
    <w:p>
      <w:pPr>
        <w:pStyle w:val="Heading1"/>
        <w:keepNext/>
        <w:pBdr>
          <w:bottom w:val="single" w:color="1B2A5C" w:sz="6" w:space="2"/>
        </w:pBdr>
        <w:spacing w:after="60" w:before="150"/>
      </w:pPr>
      <w:r>
        <w:rPr>
          <w:rFonts w:ascii="Calibri" w:cs="Calibri" w:eastAsia="Calibri" w:hAnsi="Calibri"/>
          <w:b/>
          <w:bCs/>
          <w:color w:val="1B2A5C"/>
          <w:spacing w:val="20"/>
          <w:sz w:val="22"/>
          <w:szCs w:val="22"/>
        </w:rPr>
        <w:t xml:space="preserve">CORE COMPETENCIES</w:t>
      </w:r>
    </w:p>
    <w:p>
      <w:pPr>
        <w:spacing w:after="40" w:before="0" w:line="264"/>
        <w:jc w:val="left"/>
      </w:pPr>
      <w:r>
        <w:rPr>
          <w:rFonts w:ascii="Calibri" w:cs="Calibri" w:eastAsia="Calibri" w:hAnsi="Calibri"/>
          <w:sz w:val="20"/>
          <w:szCs w:val="20"/>
        </w:rPr>
        <w:t xml:space="preserve">Cybersecurity Strategy &amp; Governance  |  Cyber Assurance &amp; Continuous Control Monitoring  |  Enterprise &amp; IT Risk Management  |  Regulatory Compliance &amp; Examination Readiness (FDIC, FFIEC, GLBA/Reg P, BSA)  |  Board &amp; Stakeholder Communication  |  Third-Party &amp; Vendor Risk Management  |  Security Operations (SOC/MSSP)  |  Incident Response &amp; Tabletop Exercises  |  ICS/OT &amp; Critical Infrastructure Security  |  Business Continuity &amp; Disaster Recovery  |  Cyber Insurance Readiness  |  AI Governance (NIST AI RMF)  |  Policy Development  |  Data Privacy  |  Cloud Security  |  GRC Platform Development  |  Budget &amp; Financial Management  |  Digital Transformation  |  PMO &amp; Agile Delivery  |  Strategic Sourcing &amp; Contract Negotiation</w:t>
      </w:r>
    </w:p>
    <w:p>
      <w:pPr>
        <w:pStyle w:val="Heading1"/>
        <w:keepNext/>
        <w:pBdr>
          <w:bottom w:val="single" w:color="1B2A5C" w:sz="6" w:space="2"/>
        </w:pBdr>
        <w:spacing w:after="60" w:before="150"/>
      </w:pPr>
      <w:r>
        <w:rPr>
          <w:rFonts w:ascii="Calibri" w:cs="Calibri" w:eastAsia="Calibri" w:hAnsi="Calibri"/>
          <w:b/>
          <w:bCs/>
          <w:color w:val="1B2A5C"/>
          <w:spacing w:val="20"/>
          <w:sz w:val="22"/>
          <w:szCs w:val="22"/>
        </w:rPr>
        <w:t xml:space="preserve">PROFESSIONAL EXPERIENCE</w:t>
      </w:r>
    </w:p>
    <w:p>
      <w:pPr>
        <w:keepNext/>
        <w:tabs>
          <w:tab w:val="right" w:pos="10224"/>
        </w:tabs>
        <w:spacing w:after="10" w:before="115"/>
      </w:pPr>
      <w:r>
        <w:rPr>
          <w:rFonts w:ascii="Calibri" w:cs="Calibri" w:eastAsia="Calibri" w:hAnsi="Calibri"/>
          <w:b/>
          <w:bCs/>
          <w:color w:val="1B2A5C"/>
          <w:sz w:val="22"/>
          <w:szCs w:val="22"/>
        </w:rPr>
        <w:t xml:space="preserve">TRANSFORMYX TECHNOLOGY SERVICES, LLC</w:t>
      </w:r>
      <w:r>
        <w:rPr>
          <w:rFonts w:ascii="Calibri" w:cs="Calibri" w:eastAsia="Calibri" w:hAnsi="Calibri"/>
          <w:i/>
          <w:iCs/>
          <w:color w:val="4A4A4A"/>
          <w:sz w:val="19"/>
          <w:szCs w:val="19"/>
        </w:rPr>
        <w:t xml:space="preserve">  |  Independent cybersecurity advisory practice</w:t>
      </w:r>
    </w:p>
    <w:p>
      <w:pPr>
        <w:keepNext/>
        <w:tabs>
          <w:tab w:val="right" w:pos="10224"/>
        </w:tabs>
        <w:spacing w:after="30" w:before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Principal &amp; Virtual CISO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	Jan 2024 - Present</w:t>
      </w:r>
    </w:p>
    <w:p>
      <w:pPr>
        <w:spacing w:after="40" w:before="0" w:line="252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Provides virtual CISO leadership, risk assessments, and independent cyber assurance for small and mid-sized organizations, with programs aligned to NIST CSF 2.0, NIST SP 800-171, CMMC, ISO/IEC 27001, HIPAA, and PCI DSS.</w:t>
      </w:r>
    </w:p>
    <w:p>
      <w:pPr>
        <w:pStyle w:val="ListParagraph"/>
        <w:numPr>
          <w:ilvl w:val="0"/>
          <w:numId w:val="2"/>
        </w:numPr>
        <w:spacing w:after="20" w:line="248"/>
      </w:pPr>
      <w:r>
        <w:rPr>
          <w:rFonts w:ascii="Calibri" w:cs="Calibri" w:eastAsia="Calibri" w:hAnsi="Calibri"/>
          <w:sz w:val="21"/>
          <w:szCs w:val="21"/>
        </w:rPr>
        <w:t xml:space="preserve">Conducts comprehensive risk assessments with gap analysis, corrective action plans, and 12-month remediation roadmaps; delivers policy architecture, tabletop exercises, and attack-surface analysis.</w:t>
      </w:r>
    </w:p>
    <w:p>
      <w:pPr>
        <w:pStyle w:val="ListParagraph"/>
        <w:numPr>
          <w:ilvl w:val="0"/>
          <w:numId w:val="2"/>
        </w:numPr>
        <w:spacing w:after="20" w:line="248"/>
      </w:pPr>
      <w:r>
        <w:rPr>
          <w:rFonts w:ascii="Calibri" w:cs="Calibri" w:eastAsia="Calibri" w:hAnsi="Calibri"/>
          <w:sz w:val="21"/>
          <w:szCs w:val="21"/>
        </w:rPr>
        <w:t xml:space="preserve">Designed and built CyberCAAT (C#, .NET 8, Blazor, Azure SQL), a cyber-GRC platform with 201 unified controls across nine authoritative sources and 113 scheduled control processes; integrates SentinelOne, Rapid7, and ManageEngine data to automate risk assessments, vulnerability tracking, incident management, and executive reporting.</w:t>
      </w:r>
    </w:p>
    <w:p>
      <w:pPr>
        <w:pStyle w:val="ListParagraph"/>
        <w:numPr>
          <w:ilvl w:val="0"/>
          <w:numId w:val="2"/>
        </w:numPr>
        <w:spacing w:after="20" w:line="248"/>
      </w:pPr>
      <w:r>
        <w:rPr>
          <w:rFonts w:ascii="Calibri" w:cs="Calibri" w:eastAsia="Calibri" w:hAnsi="Calibri"/>
          <w:sz w:val="21"/>
          <w:szCs w:val="21"/>
        </w:rPr>
        <w:t xml:space="preserve">Wrote and published </w:t>
      </w:r>
      <w:r>
        <w:rPr>
          <w:rFonts w:ascii="Calibri" w:cs="Calibri" w:eastAsia="Calibri" w:hAnsi="Calibri"/>
          <w:i/>
          <w:iCs/>
          <w:sz w:val="21"/>
          <w:szCs w:val="21"/>
        </w:rPr>
        <w:t xml:space="preserve">The Assurance Gap</w:t>
      </w:r>
      <w:r>
        <w:rPr>
          <w:rFonts w:ascii="Calibri" w:cs="Calibri" w:eastAsia="Calibri" w:hAnsi="Calibri"/>
          <w:sz w:val="21"/>
          <w:szCs w:val="21"/>
        </w:rPr>
        <w:t xml:space="preserve"> (2026), introducing the Cyber Assurance Officer operating model: independent, evidence-based verification that controls match what an organization attests to boards, regulators, and insurers.</w:t>
      </w:r>
    </w:p>
    <w:p>
      <w:pPr>
        <w:keepNext/>
        <w:tabs>
          <w:tab w:val="right" w:pos="10224"/>
        </w:tabs>
        <w:spacing w:after="10" w:before="115"/>
      </w:pPr>
      <w:r>
        <w:rPr>
          <w:rFonts w:ascii="Calibri" w:cs="Calibri" w:eastAsia="Calibri" w:hAnsi="Calibri"/>
          <w:b/>
          <w:bCs/>
          <w:color w:val="1B2A5C"/>
          <w:sz w:val="22"/>
          <w:szCs w:val="22"/>
        </w:rPr>
        <w:t xml:space="preserve">ONEVISION CONSULTING, LLC</w:t>
      </w:r>
      <w:r>
        <w:rPr>
          <w:rFonts w:ascii="Calibri" w:cs="Calibri" w:eastAsia="Calibri" w:hAnsi="Calibri"/>
          <w:i/>
          <w:iCs/>
          <w:color w:val="4A4A4A"/>
          <w:sz w:val="19"/>
          <w:szCs w:val="19"/>
        </w:rPr>
        <w:t xml:space="preserve">  |  Strategic consulting firm</w:t>
      </w:r>
    </w:p>
    <w:p>
      <w:pPr>
        <w:keepNext/>
        <w:tabs>
          <w:tab w:val="right" w:pos="10224"/>
        </w:tabs>
        <w:spacing w:after="30" w:before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Managing Director of Cybersecurity, Network and Infrastructure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	Mar 2024 - Present</w:t>
      </w:r>
    </w:p>
    <w:p>
      <w:pPr>
        <w:spacing w:after="40" w:before="0" w:line="252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Leads cybersecurity, network, and infrastructure services for industrial clients, including Shintech (PVC manufacturing): vCISO services, risk assessments, compliance consulting, ERP strategy, and IT advisory.</w:t>
      </w:r>
    </w:p>
    <w:p>
      <w:pPr>
        <w:pStyle w:val="ListParagraph"/>
        <w:numPr>
          <w:ilvl w:val="0"/>
          <w:numId w:val="2"/>
        </w:numPr>
        <w:spacing w:after="20" w:line="248"/>
      </w:pPr>
      <w:r>
        <w:rPr>
          <w:rFonts w:ascii="Calibri" w:cs="Calibri" w:eastAsia="Calibri" w:hAnsi="Calibri"/>
          <w:sz w:val="21"/>
          <w:szCs w:val="21"/>
        </w:rPr>
        <w:t xml:space="preserve">Implemented NIST-based risk frameworks for ICS/OT environments, supporting DHS and U.S. Coast Guard compliance requirements for critical infrastructure.</w:t>
      </w:r>
    </w:p>
    <w:p>
      <w:pPr>
        <w:pStyle w:val="ListParagraph"/>
        <w:numPr>
          <w:ilvl w:val="0"/>
          <w:numId w:val="2"/>
        </w:numPr>
        <w:spacing w:after="20" w:line="248"/>
      </w:pPr>
      <w:r>
        <w:rPr>
          <w:rFonts w:ascii="Calibri" w:cs="Calibri" w:eastAsia="Calibri" w:hAnsi="Calibri"/>
          <w:sz w:val="21"/>
          <w:szCs w:val="21"/>
        </w:rPr>
        <w:t xml:space="preserve">Conducted vulnerability assessments and established incident response protocols for chemical manufacturing operations.</w:t>
      </w:r>
    </w:p>
    <w:p>
      <w:pPr>
        <w:pStyle w:val="ListParagraph"/>
        <w:numPr>
          <w:ilvl w:val="0"/>
          <w:numId w:val="2"/>
        </w:numPr>
        <w:spacing w:after="20" w:line="248"/>
      </w:pPr>
      <w:r>
        <w:rPr>
          <w:rFonts w:ascii="Calibri" w:cs="Calibri" w:eastAsia="Calibri" w:hAnsi="Calibri"/>
          <w:sz w:val="21"/>
          <w:szCs w:val="21"/>
        </w:rPr>
        <w:t xml:space="preserve">Built strategic partnerships (Sparkhound, Lockstep Technology Group) to deliver end-to-end cybersecurity solutions; leads cross-functional teams through risk assessments, gap analysis, and remediation planning.</w:t>
      </w:r>
    </w:p>
    <w:p>
      <w:pPr>
        <w:keepNext/>
        <w:tabs>
          <w:tab w:val="right" w:pos="10224"/>
        </w:tabs>
        <w:spacing w:after="10" w:before="115"/>
      </w:pPr>
      <w:r>
        <w:rPr>
          <w:rFonts w:ascii="Calibri" w:cs="Calibri" w:eastAsia="Calibri" w:hAnsi="Calibri"/>
          <w:b/>
          <w:bCs/>
          <w:color w:val="1B2A5C"/>
          <w:sz w:val="22"/>
          <w:szCs w:val="22"/>
        </w:rPr>
        <w:t xml:space="preserve">FIRST GUARANTY BANCSHARES, INC.</w:t>
      </w:r>
      <w:r>
        <w:rPr>
          <w:rFonts w:ascii="Calibri" w:cs="Calibri" w:eastAsia="Calibri" w:hAnsi="Calibri"/>
          <w:i/>
          <w:iCs/>
          <w:color w:val="4A4A4A"/>
          <w:sz w:val="19"/>
          <w:szCs w:val="19"/>
        </w:rPr>
        <w:t xml:space="preserve">  |  Publicly traded bank holding company; 34 branches</w:t>
      </w:r>
    </w:p>
    <w:p>
      <w:pPr>
        <w:keepNext/>
        <w:tabs>
          <w:tab w:val="right" w:pos="10224"/>
        </w:tabs>
        <w:spacing w:after="30" w:before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SVP, Chief Information Security Officer and Chief Information Officer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	Mar 2022 - Nov 2023</w:t>
      </w:r>
    </w:p>
    <w:p>
      <w:pPr>
        <w:spacing w:after="30" w:before="0" w:line="252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Promoted from CISO to CIO within four months and rated Distinguished, the bank's highest performance rating, in the final annual review. Led cybersecurity strategy on a $1.8M budget, then an IT organization of 27 people with an $8.2M budget; drove IT modernization, DevOps, and enterprise-wide compliance, reporting to executive management, the Board, and regulators.</w:t>
      </w:r>
    </w:p>
    <w:p>
      <w:pPr>
        <w:keepNext/>
        <w:spacing w:after="20" w:before="50"/>
      </w:pPr>
      <w:r>
        <w:rPr>
          <w:rFonts w:ascii="Calibri" w:cs="Calibri" w:eastAsia="Calibri" w:hAnsi="Calibri"/>
          <w:b/>
          <w:bCs/>
          <w:i/>
          <w:iCs/>
          <w:color w:val="1B2A5C"/>
          <w:sz w:val="20"/>
          <w:szCs w:val="20"/>
        </w:rPr>
        <w:t xml:space="preserve">Cybersecurity leadership (CISO)</w:t>
      </w:r>
    </w:p>
    <w:p>
      <w:pPr>
        <w:pStyle w:val="ListParagraph"/>
        <w:numPr>
          <w:ilvl w:val="0"/>
          <w:numId w:val="2"/>
        </w:numPr>
        <w:spacing w:after="20" w:line="248"/>
      </w:pPr>
      <w:r>
        <w:rPr>
          <w:rFonts w:ascii="Calibri" w:cs="Calibri" w:eastAsia="Calibri" w:hAnsi="Calibri"/>
          <w:sz w:val="21"/>
          <w:szCs w:val="21"/>
        </w:rPr>
        <w:t xml:space="preserve">Built and operated the bank's Information Security Program aligned to FDIC/FFIEC guidance and the Interagency Guidelines Establishing Information Security Standards (GLBA); led FDIC examination readiness, risk assessments, and penetration testing.</w:t>
      </w:r>
    </w:p>
    <w:p>
      <w:pPr>
        <w:pStyle w:val="ListParagraph"/>
        <w:numPr>
          <w:ilvl w:val="0"/>
          <w:numId w:val="2"/>
        </w:numPr>
        <w:spacing w:after="20" w:line="248"/>
      </w:pPr>
      <w:r>
        <w:rPr>
          <w:rFonts w:ascii="Calibri" w:cs="Calibri" w:eastAsia="Calibri" w:hAnsi="Calibri"/>
          <w:sz w:val="21"/>
          <w:szCs w:val="21"/>
        </w:rPr>
        <w:t xml:space="preserve">Maintained 100% compliance across 840 endpoints with FFIEC/FDIC and PCI DSS standards; achieved 98% compliance and a 34% reduction in cybersecurity incidents.</w:t>
      </w:r>
    </w:p>
    <w:p>
      <w:pPr>
        <w:pStyle w:val="ListParagraph"/>
        <w:numPr>
          <w:ilvl w:val="0"/>
          <w:numId w:val="2"/>
        </w:numPr>
        <w:spacing w:after="20" w:line="248"/>
      </w:pPr>
      <w:r>
        <w:rPr>
          <w:rFonts w:ascii="Calibri" w:cs="Calibri" w:eastAsia="Calibri" w:hAnsi="Calibri"/>
          <w:sz w:val="21"/>
          <w:szCs w:val="21"/>
        </w:rPr>
        <w:t xml:space="preserve">Deployed Rapid7 vulnerability management and penetration testing, reducing critical vulnerabilities 90%; ran security awareness (SETA) with 100% employee completion and a 70% drop in phishing incidents.</w:t>
      </w:r>
    </w:p>
    <w:p>
      <w:pPr>
        <w:pStyle w:val="ListParagraph"/>
        <w:numPr>
          <w:ilvl w:val="0"/>
          <w:numId w:val="2"/>
        </w:numPr>
        <w:spacing w:after="20" w:line="248"/>
      </w:pPr>
      <w:r>
        <w:rPr>
          <w:rFonts w:ascii="Calibri" w:cs="Calibri" w:eastAsia="Calibri" w:hAnsi="Calibri"/>
          <w:sz w:val="21"/>
          <w:szCs w:val="21"/>
        </w:rPr>
        <w:t xml:space="preserve">Owned third-party and affiliate risk oversight consistent with FDIC third-party risk guidance.</w:t>
      </w:r>
    </w:p>
    <w:p>
      <w:pPr>
        <w:keepNext/>
        <w:spacing w:after="20" w:before="50"/>
      </w:pPr>
      <w:r>
        <w:rPr>
          <w:rFonts w:ascii="Calibri" w:cs="Calibri" w:eastAsia="Calibri" w:hAnsi="Calibri"/>
          <w:b/>
          <w:bCs/>
          <w:i/>
          <w:iCs/>
          <w:color w:val="1B2A5C"/>
          <w:sz w:val="20"/>
          <w:szCs w:val="20"/>
        </w:rPr>
        <w:t xml:space="preserve">IT executive leadership (CIO)</w:t>
      </w:r>
    </w:p>
    <w:p>
      <w:pPr>
        <w:pStyle w:val="ListParagraph"/>
        <w:numPr>
          <w:ilvl w:val="0"/>
          <w:numId w:val="2"/>
        </w:numPr>
        <w:spacing w:after="20" w:line="248"/>
      </w:pPr>
      <w:r>
        <w:rPr>
          <w:rFonts w:ascii="Calibri" w:cs="Calibri" w:eastAsia="Calibri" w:hAnsi="Calibri"/>
          <w:sz w:val="21"/>
          <w:szCs w:val="21"/>
        </w:rPr>
        <w:t xml:space="preserve">Modernized infrastructure for 27 banking applications using AI, RPA, and machine learning to optimize CAPEX and OPEX; automated 50+ business processes through DevOps, reducing manual workload 40% and improving data accuracy 95%.</w:t>
      </w:r>
    </w:p>
    <w:p>
      <w:pPr>
        <w:pStyle w:val="ListParagraph"/>
        <w:numPr>
          <w:ilvl w:val="0"/>
          <w:numId w:val="2"/>
        </w:numPr>
        <w:spacing w:after="20" w:line="248"/>
      </w:pPr>
      <w:r>
        <w:rPr>
          <w:rFonts w:ascii="Calibri" w:cs="Calibri" w:eastAsia="Calibri" w:hAnsi="Calibri"/>
          <w:sz w:val="21"/>
          <w:szCs w:val="21"/>
        </w:rPr>
        <w:t xml:space="preserve">Drove enterprise architecture adoption, cutting IT service desk response times 87% and raising satisfaction from under 50% to over 95%.</w:t>
      </w:r>
    </w:p>
    <w:p>
      <w:pPr>
        <w:pStyle w:val="ListParagraph"/>
        <w:numPr>
          <w:ilvl w:val="0"/>
          <w:numId w:val="2"/>
        </w:numPr>
        <w:spacing w:after="20" w:line="248"/>
      </w:pPr>
      <w:r>
        <w:rPr>
          <w:rFonts w:ascii="Calibri" w:cs="Calibri" w:eastAsia="Calibri" w:hAnsi="Calibri"/>
          <w:sz w:val="21"/>
          <w:szCs w:val="21"/>
        </w:rPr>
        <w:t xml:space="preserve">Developed and tested disaster recovery and business continuity plans for all 34 branches; established a PMO for Agile delivery and iPaaS implementation.</w:t>
      </w:r>
    </w:p>
    <w:p>
      <w:pPr>
        <w:keepNext/>
        <w:tabs>
          <w:tab w:val="right" w:pos="10224"/>
        </w:tabs>
        <w:spacing w:after="10" w:before="115"/>
      </w:pPr>
      <w:r>
        <w:rPr>
          <w:rFonts w:ascii="Calibri" w:cs="Calibri" w:eastAsia="Calibri" w:hAnsi="Calibri"/>
          <w:b/>
          <w:bCs/>
          <w:color w:val="1B2A5C"/>
          <w:sz w:val="22"/>
          <w:szCs w:val="22"/>
        </w:rPr>
        <w:t xml:space="preserve">LOCKSTEP TECHNOLOGY GROUP (formerly TRANSFORMYX)</w:t>
      </w:r>
      <w:r>
        <w:rPr>
          <w:rFonts w:ascii="Calibri" w:cs="Calibri" w:eastAsia="Calibri" w:hAnsi="Calibri"/>
          <w:i/>
          <w:iCs/>
          <w:color w:val="4A4A4A"/>
          <w:sz w:val="19"/>
          <w:szCs w:val="19"/>
        </w:rPr>
        <w:t xml:space="preserve">  |  Managed security services provider</w:t>
      </w:r>
    </w:p>
    <w:p>
      <w:pPr>
        <w:keepNext/>
        <w:tabs>
          <w:tab w:val="right" w:pos="10224"/>
        </w:tabs>
        <w:spacing w:after="30" w:before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Vice President of Cybersecurity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	Oct 2017 - Mar 2022</w:t>
      </w:r>
    </w:p>
    <w:p>
      <w:pPr>
        <w:spacing w:after="40" w:before="0" w:line="252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Led a 7-person team and $1.2M budget, scaling the MSSP practice to $3.4M in revenue serving 500+ MSP clients across EDR, vulnerability management, cloud security, IP protection, and compliance automation.</w:t>
      </w:r>
    </w:p>
    <w:p>
      <w:pPr>
        <w:pStyle w:val="ListParagraph"/>
        <w:numPr>
          <w:ilvl w:val="0"/>
          <w:numId w:val="2"/>
        </w:numPr>
        <w:spacing w:after="20" w:line="248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Security operations: </w:t>
      </w:r>
      <w:r>
        <w:rPr>
          <w:rFonts w:ascii="Calibri" w:cs="Calibri" w:eastAsia="Calibri" w:hAnsi="Calibri"/>
          <w:sz w:val="21"/>
          <w:szCs w:val="21"/>
        </w:rPr>
        <w:t xml:space="preserve">Established and led two SOC teams and launched vCISO services, driving the MSSP transition that strengthened the firm's acquisition potential.</w:t>
      </w:r>
    </w:p>
    <w:p>
      <w:pPr>
        <w:pStyle w:val="ListParagraph"/>
        <w:numPr>
          <w:ilvl w:val="0"/>
          <w:numId w:val="2"/>
        </w:numPr>
        <w:spacing w:after="20" w:line="248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Vulnerability management: </w:t>
      </w:r>
      <w:r>
        <w:rPr>
          <w:rFonts w:ascii="Calibri" w:cs="Calibri" w:eastAsia="Calibri" w:hAnsi="Calibri"/>
          <w:sz w:val="21"/>
          <w:szCs w:val="21"/>
        </w:rPr>
        <w:t xml:space="preserve">Launched a multi-tenant vulnerability program, improving discovery 60% and reducing remediation time 50%.</w:t>
      </w:r>
    </w:p>
    <w:p>
      <w:pPr>
        <w:pStyle w:val="ListParagraph"/>
        <w:numPr>
          <w:ilvl w:val="0"/>
          <w:numId w:val="2"/>
        </w:numPr>
        <w:spacing w:after="20" w:line="248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Penetration testing as a service: </w:t>
      </w:r>
      <w:r>
        <w:rPr>
          <w:rFonts w:ascii="Calibri" w:cs="Calibri" w:eastAsia="Calibri" w:hAnsi="Calibri"/>
          <w:sz w:val="21"/>
          <w:szCs w:val="21"/>
        </w:rPr>
        <w:t xml:space="preserve">Established a PTaaS practice averaging 150 vulnerabilities discovered per client, reducing attack surface 40%.</w:t>
      </w:r>
    </w:p>
    <w:p>
      <w:pPr>
        <w:pStyle w:val="ListParagraph"/>
        <w:numPr>
          <w:ilvl w:val="0"/>
          <w:numId w:val="2"/>
        </w:numPr>
        <w:spacing w:after="20" w:line="248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GRC automation: </w:t>
      </w:r>
      <w:r>
        <w:rPr>
          <w:rFonts w:ascii="Calibri" w:cs="Calibri" w:eastAsia="Calibri" w:hAnsi="Calibri"/>
          <w:sz w:val="21"/>
          <w:szCs w:val="21"/>
        </w:rPr>
        <w:t xml:space="preserve">Architected automated compliance evidence for 500+ MSP clients, supporting their HITRUST and SOC 2 programs and cutting compliance effort 70%.</w:t>
      </w:r>
    </w:p>
    <w:p>
      <w:pPr>
        <w:keepNext/>
        <w:tabs>
          <w:tab w:val="right" w:pos="10224"/>
        </w:tabs>
        <w:spacing w:after="10" w:before="115"/>
      </w:pPr>
      <w:r>
        <w:rPr>
          <w:rFonts w:ascii="Calibri" w:cs="Calibri" w:eastAsia="Calibri" w:hAnsi="Calibri"/>
          <w:b/>
          <w:bCs/>
          <w:color w:val="1B2A5C"/>
          <w:sz w:val="22"/>
          <w:szCs w:val="22"/>
        </w:rPr>
        <w:t xml:space="preserve">eQHEALTH SOLUTIONS</w:t>
      </w:r>
      <w:r>
        <w:rPr>
          <w:rFonts w:ascii="Calibri" w:cs="Calibri" w:eastAsia="Calibri" w:hAnsi="Calibri"/>
          <w:i/>
          <w:iCs/>
          <w:color w:val="4A4A4A"/>
          <w:sz w:val="19"/>
          <w:szCs w:val="19"/>
        </w:rPr>
        <w:t xml:space="preserve">  |  Healthcare quality-improvement and management services</w:t>
      </w:r>
    </w:p>
    <w:p>
      <w:pPr>
        <w:keepNext/>
        <w:tabs>
          <w:tab w:val="right" w:pos="10224"/>
        </w:tabs>
        <w:spacing w:after="30" w:before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Chief Information Security Officer, Executive Director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	Apr 2015 - Oct 2017</w:t>
      </w:r>
    </w:p>
    <w:p>
      <w:pPr>
        <w:pStyle w:val="ListParagraph"/>
        <w:numPr>
          <w:ilvl w:val="0"/>
          <w:numId w:val="2"/>
        </w:numPr>
        <w:spacing w:after="20" w:line="248"/>
      </w:pPr>
      <w:r>
        <w:rPr>
          <w:rFonts w:ascii="Calibri" w:cs="Calibri" w:eastAsia="Calibri" w:hAnsi="Calibri"/>
          <w:sz w:val="21"/>
          <w:szCs w:val="21"/>
        </w:rPr>
        <w:t xml:space="preserve">Built the cybersecurity program from inception with a ~$1M budget and a five-person team, establishing the information security and GRC platforms.</w:t>
      </w:r>
    </w:p>
    <w:p>
      <w:pPr>
        <w:pStyle w:val="ListParagraph"/>
        <w:numPr>
          <w:ilvl w:val="0"/>
          <w:numId w:val="2"/>
        </w:numPr>
        <w:spacing w:after="20" w:line="248"/>
      </w:pPr>
      <w:r>
        <w:rPr>
          <w:rFonts w:ascii="Calibri" w:cs="Calibri" w:eastAsia="Calibri" w:hAnsi="Calibri"/>
          <w:sz w:val="21"/>
          <w:szCs w:val="21"/>
        </w:rPr>
        <w:t xml:space="preserve">Achieved HITRUST CSF certification in 11 months, addressing 700+ controls across DevSecOps; aligned first-year security upgrades with HITRUST and HIPAA.</w:t>
      </w:r>
    </w:p>
    <w:p>
      <w:pPr>
        <w:pStyle w:val="ListParagraph"/>
        <w:numPr>
          <w:ilvl w:val="0"/>
          <w:numId w:val="2"/>
        </w:numPr>
        <w:spacing w:after="20" w:line="248"/>
      </w:pPr>
      <w:r>
        <w:rPr>
          <w:rFonts w:ascii="Calibri" w:cs="Calibri" w:eastAsia="Calibri" w:hAnsi="Calibri"/>
          <w:sz w:val="21"/>
          <w:szCs w:val="21"/>
        </w:rPr>
        <w:t xml:space="preserve">Architected the automated GRC framework that sustained HITRUST CSF and SOC 2 Type II compliance across 900+ controls, with KPI/KRI dashboards in Tableau reaching HITRUST's “Measured” maturity level.</w:t>
      </w:r>
    </w:p>
    <w:p>
      <w:pPr>
        <w:pStyle w:val="ListParagraph"/>
        <w:numPr>
          <w:ilvl w:val="0"/>
          <w:numId w:val="2"/>
        </w:numPr>
        <w:spacing w:after="20" w:line="248"/>
      </w:pPr>
      <w:r>
        <w:rPr>
          <w:rFonts w:ascii="Calibri" w:cs="Calibri" w:eastAsia="Calibri" w:hAnsi="Calibri"/>
          <w:sz w:val="21"/>
          <w:szCs w:val="21"/>
        </w:rPr>
        <w:t xml:space="preserve">Integrated security and QA controls into 156 Agile/Scrum sprints, improving software development and rollout.</w:t>
      </w:r>
    </w:p>
    <w:p>
      <w:pPr>
        <w:keepNext/>
        <w:tabs>
          <w:tab w:val="right" w:pos="10224"/>
        </w:tabs>
        <w:spacing w:after="30" w:before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Executive Director, Project Management Office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	Sep 2013 - Apr 2015</w:t>
      </w:r>
    </w:p>
    <w:p>
      <w:pPr>
        <w:pStyle w:val="ListParagraph"/>
        <w:numPr>
          <w:ilvl w:val="0"/>
          <w:numId w:val="2"/>
        </w:numPr>
        <w:spacing w:after="20" w:line="248"/>
      </w:pPr>
      <w:r>
        <w:rPr>
          <w:rFonts w:ascii="Calibri" w:cs="Calibri" w:eastAsia="Calibri" w:hAnsi="Calibri"/>
          <w:sz w:val="21"/>
          <w:szCs w:val="21"/>
        </w:rPr>
        <w:t xml:space="preserve">Founded and led the IT PMO for business systems ($1.6M budget, 21-person team, four development squads), adopting Agile/Scrum and improving project performance 300%.</w:t>
      </w:r>
    </w:p>
    <w:p>
      <w:pPr>
        <w:pStyle w:val="ListParagraph"/>
        <w:numPr>
          <w:ilvl w:val="0"/>
          <w:numId w:val="2"/>
        </w:numPr>
        <w:spacing w:after="20" w:line="248"/>
      </w:pPr>
      <w:r>
        <w:rPr>
          <w:rFonts w:ascii="Calibri" w:cs="Calibri" w:eastAsia="Calibri" w:hAnsi="Calibri"/>
          <w:sz w:val="21"/>
          <w:szCs w:val="21"/>
        </w:rPr>
        <w:t xml:space="preserve">Launched a business intelligence program that improved client satisfaction 40%, cut analytics processing time 50%, and absorbed 35% growth in analysis requests.</w:t>
      </w:r>
    </w:p>
    <w:p>
      <w:pPr>
        <w:keepNext/>
        <w:tabs>
          <w:tab w:val="right" w:pos="10224"/>
        </w:tabs>
        <w:spacing w:after="10" w:before="115"/>
      </w:pPr>
      <w:r>
        <w:rPr>
          <w:rFonts w:ascii="Calibri" w:cs="Calibri" w:eastAsia="Calibri" w:hAnsi="Calibri"/>
          <w:b/>
          <w:bCs/>
          <w:color w:val="1B2A5C"/>
          <w:sz w:val="22"/>
          <w:szCs w:val="22"/>
        </w:rPr>
        <w:t xml:space="preserve">AMEDISYS, INC.</w:t>
      </w:r>
      <w:r>
        <w:rPr>
          <w:rFonts w:ascii="Calibri" w:cs="Calibri" w:eastAsia="Calibri" w:hAnsi="Calibri"/>
          <w:i/>
          <w:iCs/>
          <w:color w:val="4A4A4A"/>
          <w:sz w:val="19"/>
          <w:szCs w:val="19"/>
        </w:rPr>
        <w:t xml:space="preserve">  |  Home health and hospice provider</w:t>
      </w:r>
    </w:p>
    <w:p>
      <w:pPr>
        <w:keepNext/>
        <w:tabs>
          <w:tab w:val="right" w:pos="10224"/>
        </w:tabs>
        <w:spacing w:after="30" w:before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Director, Strategic IT Sourcing and Procurement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	Dec 2011 - Sep 2013</w:t>
      </w:r>
    </w:p>
    <w:p>
      <w:pPr>
        <w:pStyle w:val="ListParagraph"/>
        <w:numPr>
          <w:ilvl w:val="0"/>
          <w:numId w:val="2"/>
        </w:numPr>
        <w:spacing w:after="20" w:line="248"/>
      </w:pPr>
      <w:r>
        <w:rPr>
          <w:rFonts w:ascii="Calibri" w:cs="Calibri" w:eastAsia="Calibri" w:hAnsi="Calibri"/>
          <w:sz w:val="21"/>
          <w:szCs w:val="21"/>
        </w:rPr>
        <w:t xml:space="preserve">Led strategic IT sourcing, global operations, vendor risk management, ERP, and procurement for a $110M+ IT contract portfolio; saved $4M+ through contract optimization.</w:t>
      </w:r>
    </w:p>
    <w:p>
      <w:pPr>
        <w:pStyle w:val="ListParagraph"/>
        <w:numPr>
          <w:ilvl w:val="0"/>
          <w:numId w:val="2"/>
        </w:numPr>
        <w:spacing w:after="20" w:line="248"/>
      </w:pPr>
      <w:r>
        <w:rPr>
          <w:rFonts w:ascii="Calibri" w:cs="Calibri" w:eastAsia="Calibri" w:hAnsi="Calibri"/>
          <w:sz w:val="21"/>
          <w:szCs w:val="21"/>
        </w:rPr>
        <w:t xml:space="preserve">Ran 8 competitive RFPs and negotiated $12M+ in contracts; managed 100+ contracts and 20 proposals across 40 projects with C-suite and legal teams.</w:t>
      </w:r>
    </w:p>
    <w:p>
      <w:pPr>
        <w:keepNext/>
        <w:tabs>
          <w:tab w:val="right" w:pos="10224"/>
        </w:tabs>
        <w:spacing w:after="10" w:before="115"/>
      </w:pPr>
      <w:r>
        <w:rPr>
          <w:rFonts w:ascii="Calibri" w:cs="Calibri" w:eastAsia="Calibri" w:hAnsi="Calibri"/>
          <w:b/>
          <w:bCs/>
          <w:color w:val="1B2A5C"/>
          <w:sz w:val="22"/>
          <w:szCs w:val="22"/>
        </w:rPr>
        <w:t xml:space="preserve">TRANSFORMYX</w:t>
      </w:r>
      <w:r>
        <w:rPr>
          <w:rFonts w:ascii="Calibri" w:cs="Calibri" w:eastAsia="Calibri" w:hAnsi="Calibri"/>
          <w:i/>
          <w:iCs/>
          <w:color w:val="4A4A4A"/>
          <w:sz w:val="19"/>
          <w:szCs w:val="19"/>
        </w:rPr>
        <w:t xml:space="preserve">  |  IT and managed services provider</w:t>
      </w:r>
    </w:p>
    <w:p>
      <w:pPr>
        <w:keepNext/>
        <w:tabs>
          <w:tab w:val="right" w:pos="10224"/>
        </w:tabs>
        <w:spacing w:after="30" w:before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Vice President of Operations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	Oct 2006 - Sep 2011</w:t>
      </w:r>
    </w:p>
    <w:p>
      <w:pPr>
        <w:pStyle w:val="ListParagraph"/>
        <w:numPr>
          <w:ilvl w:val="0"/>
          <w:numId w:val="2"/>
        </w:numPr>
        <w:spacing w:after="20" w:line="248"/>
      </w:pPr>
      <w:r>
        <w:rPr>
          <w:rFonts w:ascii="Calibri" w:cs="Calibri" w:eastAsia="Calibri" w:hAnsi="Calibri"/>
          <w:sz w:val="21"/>
          <w:szCs w:val="21"/>
        </w:rPr>
        <w:t xml:space="preserve">Directed operations and a 17-person team; delivered infrastructure upgrades on time and under budget with zero outages and a 40% gain in customer satisfaction for clients including the Brian Harris and Ray Brandt auto groups.</w:t>
      </w:r>
    </w:p>
    <w:p>
      <w:pPr>
        <w:pStyle w:val="ListParagraph"/>
        <w:numPr>
          <w:ilvl w:val="0"/>
          <w:numId w:val="2"/>
        </w:numPr>
        <w:spacing w:after="20" w:line="248"/>
      </w:pPr>
      <w:r>
        <w:rPr>
          <w:rFonts w:ascii="Calibri" w:cs="Calibri" w:eastAsia="Calibri" w:hAnsi="Calibri"/>
          <w:sz w:val="21"/>
          <w:szCs w:val="21"/>
        </w:rPr>
        <w:t xml:space="preserve">Led $2.4M in USAC E-rate contracts for 14 schools; ran network operations for 600+ websites; taught CISSP, CEH, CISM, and CompTIA courses.</w:t>
      </w:r>
    </w:p>
    <w:p>
      <w:pPr>
        <w:keepNext/>
        <w:tabs>
          <w:tab w:val="right" w:pos="10224"/>
        </w:tabs>
        <w:spacing w:after="10" w:before="115"/>
      </w:pPr>
      <w:r>
        <w:rPr>
          <w:rFonts w:ascii="Calibri" w:cs="Calibri" w:eastAsia="Calibri" w:hAnsi="Calibri"/>
          <w:b/>
          <w:bCs/>
          <w:color w:val="1B2A5C"/>
          <w:sz w:val="22"/>
          <w:szCs w:val="22"/>
        </w:rPr>
        <w:t xml:space="preserve">UNITED STATES NAVY / NAVY RESERVE</w:t>
      </w:r>
      <w:r>
        <w:rPr>
          <w:rFonts w:ascii="Calibri" w:cs="Calibri" w:eastAsia="Calibri" w:hAnsi="Calibri"/>
          <w:i/>
          <w:iCs/>
          <w:color w:val="4A4A4A"/>
          <w:sz w:val="19"/>
          <w:szCs w:val="19"/>
        </w:rPr>
        <w:t xml:space="preserve">  |  20-year career; retired 2006</w:t>
      </w:r>
    </w:p>
    <w:p>
      <w:pPr>
        <w:keepNext/>
        <w:tabs>
          <w:tab w:val="right" w:pos="10224"/>
        </w:tabs>
        <w:spacing w:after="30" w:before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Commanding Officer, Navy &amp; Marine Corps Reserve Center (NMCRC) Baton Rouge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	May 2005 - Oct 2006</w:t>
      </w:r>
    </w:p>
    <w:p>
      <w:pPr>
        <w:pStyle w:val="ListParagraph"/>
        <w:numPr>
          <w:ilvl w:val="0"/>
          <w:numId w:val="2"/>
        </w:numPr>
        <w:spacing w:after="20" w:line="248"/>
      </w:pPr>
      <w:r>
        <w:rPr>
          <w:rFonts w:ascii="Calibri" w:cs="Calibri" w:eastAsia="Calibri" w:hAnsi="Calibri"/>
          <w:sz w:val="21"/>
          <w:szCs w:val="21"/>
        </w:rPr>
        <w:t xml:space="preserve">Commanded 300+ Navy Reserve personnel; directed training, administration, and a DoD-compliant budget, preparing reservists for active-duty mobilization.</w:t>
      </w:r>
    </w:p>
    <w:p>
      <w:pPr>
        <w:keepNext/>
        <w:tabs>
          <w:tab w:val="right" w:pos="10224"/>
        </w:tabs>
        <w:spacing w:after="30" w:before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Information Assurance Manager (de facto CISO), Navy Reserve Forces Command, New Orleans</w:t>
      </w:r>
      <w:r>
        <w:rPr>
          <w:rFonts w:ascii="Calibri" w:cs="Calibri" w:eastAsia="Calibri" w:hAnsi="Calibri"/>
          <w:b/>
          <w:bCs/>
          <w:sz w:val="20"/>
          <w:szCs w:val="20"/>
        </w:rPr>
        <w:t xml:space="preserve">	Jun 2002 - May 2005</w:t>
      </w:r>
    </w:p>
    <w:p>
      <w:pPr>
        <w:pStyle w:val="ListParagraph"/>
        <w:numPr>
          <w:ilvl w:val="0"/>
          <w:numId w:val="2"/>
        </w:numPr>
        <w:spacing w:after="20" w:line="248"/>
      </w:pPr>
      <w:r>
        <w:rPr>
          <w:rFonts w:ascii="Calibri" w:cs="Calibri" w:eastAsia="Calibri" w:hAnsi="Calibri"/>
          <w:sz w:val="21"/>
          <w:szCs w:val="21"/>
        </w:rPr>
        <w:t xml:space="preserve">Oversaw cybersecurity for 600+ Navy Reserve centers as IAM and Security Manager, reporting to the CIO (N6); conducted 600+ risk assessments enforcing DoD information assurance policy.</w:t>
      </w:r>
    </w:p>
    <w:p>
      <w:pPr>
        <w:pStyle w:val="ListParagraph"/>
        <w:numPr>
          <w:ilvl w:val="0"/>
          <w:numId w:val="2"/>
        </w:numPr>
        <w:spacing w:after="20" w:line="248"/>
      </w:pPr>
      <w:r>
        <w:rPr>
          <w:rFonts w:ascii="Calibri" w:cs="Calibri" w:eastAsia="Calibri" w:hAnsi="Calibri"/>
          <w:sz w:val="21"/>
          <w:szCs w:val="21"/>
        </w:rPr>
        <w:t xml:space="preserve">Awarded three Navy Commendation Medals and two Navy Achievement Medals.</w:t>
      </w:r>
    </w:p>
    <w:p>
      <w:pPr>
        <w:pStyle w:val="Heading1"/>
        <w:keepNext/>
        <w:pBdr>
          <w:bottom w:val="single" w:color="1B2A5C" w:sz="6" w:space="2"/>
        </w:pBdr>
        <w:spacing w:after="60" w:before="150"/>
      </w:pPr>
      <w:r>
        <w:rPr>
          <w:rFonts w:ascii="Calibri" w:cs="Calibri" w:eastAsia="Calibri" w:hAnsi="Calibri"/>
          <w:b/>
          <w:bCs/>
          <w:color w:val="1B2A5C"/>
          <w:spacing w:val="20"/>
          <w:sz w:val="22"/>
          <w:szCs w:val="22"/>
        </w:rPr>
        <w:t xml:space="preserve">PUBLICATIONS &amp; INTELLECTUAL PROPERTY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Calibri" w:cs="Calibri" w:eastAsia="Calibri" w:hAnsi="Calibri"/>
          <w:b/>
          <w:bCs/>
          <w:i/>
          <w:iCs/>
          <w:sz w:val="21"/>
          <w:szCs w:val="21"/>
        </w:rPr>
        <w:t xml:space="preserve">The Assurance Gap: Why Cybersecurity Compliance Is Broken — and What It Takes to Fix It</w:t>
      </w:r>
      <w:r>
        <w:rPr>
          <w:rFonts w:ascii="Calibri" w:cs="Calibri" w:eastAsia="Calibri" w:hAnsi="Calibri"/>
          <w:sz w:val="21"/>
          <w:szCs w:val="21"/>
        </w:rPr>
        <w:t xml:space="preserve"> (Transformyx Technology Services, 2026; ISBN 979-8-234-24281-5). Evidence-based guide for executives, boards, and security leaders; introduces the six pillars of cyber assurance and the Cyber Assurance Officer.</w:t>
      </w:r>
    </w:p>
    <w:p>
      <w:pPr>
        <w:pStyle w:val="ListParagraph"/>
        <w:numPr>
          <w:ilvl w:val="0"/>
          <w:numId w:val="2"/>
        </w:numPr>
        <w:spacing w:after="20" w:line="248"/>
      </w:pPr>
      <w:r>
        <w:rPr>
          <w:rFonts w:ascii="Calibri" w:cs="Calibri" w:eastAsia="Calibri" w:hAnsi="Calibri"/>
          <w:sz w:val="21"/>
          <w:szCs w:val="21"/>
        </w:rPr>
        <w:t xml:space="preserve">CyberCAAT™ cyber-GRC framework and platform: unified control mapping across NIST CSF 2.0, ISO/IEC 27001:2022, and CIS Controls v8.1, plus NIST AI RMF, ISA/IEC 62443, and CMMC 2.0.</w:t>
      </w:r>
    </w:p>
    <w:p>
      <w:pPr>
        <w:pStyle w:val="Heading1"/>
        <w:keepNext/>
        <w:pBdr>
          <w:bottom w:val="single" w:color="1B2A5C" w:sz="6" w:space="2"/>
        </w:pBdr>
        <w:spacing w:after="60" w:before="150"/>
      </w:pPr>
      <w:r>
        <w:rPr>
          <w:rFonts w:ascii="Calibri" w:cs="Calibri" w:eastAsia="Calibri" w:hAnsi="Calibri"/>
          <w:b/>
          <w:bCs/>
          <w:color w:val="1B2A5C"/>
          <w:spacing w:val="20"/>
          <w:sz w:val="22"/>
          <w:szCs w:val="22"/>
        </w:rPr>
        <w:t xml:space="preserve">EDUCATION</w:t>
      </w:r>
    </w:p>
    <w:p>
      <w:pPr>
        <w:spacing w:after="20" w:before="0" w:line="252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Master of Science, Cybersecurity &amp; Information Assurance</w:t>
      </w:r>
      <w:r>
        <w:rPr>
          <w:rFonts w:ascii="Calibri" w:cs="Calibri" w:eastAsia="Calibri" w:hAnsi="Calibri"/>
          <w:sz w:val="21"/>
          <w:szCs w:val="21"/>
        </w:rPr>
        <w:t xml:space="preserve">  |  Regis University, Denver, CO</w:t>
      </w:r>
    </w:p>
    <w:p>
      <w:pPr>
        <w:spacing w:after="20" w:before="0" w:line="252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Master of Science, Data Science &amp; Applied Technology</w:t>
      </w:r>
      <w:r>
        <w:rPr>
          <w:rFonts w:ascii="Calibri" w:cs="Calibri" w:eastAsia="Calibri" w:hAnsi="Calibri"/>
          <w:sz w:val="21"/>
          <w:szCs w:val="21"/>
        </w:rPr>
        <w:t xml:space="preserve">  |  Southeastern Louisiana University, Hammond, LA</w:t>
      </w:r>
    </w:p>
    <w:p>
      <w:pPr>
        <w:spacing w:after="20" w:before="0" w:line="252"/>
        <w:jc w:val="lef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Bachelor of Science, Business Administration – Management Information Systems</w:t>
      </w:r>
      <w:r>
        <w:rPr>
          <w:rFonts w:ascii="Calibri" w:cs="Calibri" w:eastAsia="Calibri" w:hAnsi="Calibri"/>
          <w:sz w:val="21"/>
          <w:szCs w:val="21"/>
        </w:rPr>
        <w:t xml:space="preserve">  |  Auburn University, Auburn, AL</w:t>
      </w:r>
    </w:p>
    <w:p>
      <w:pPr>
        <w:pStyle w:val="Heading1"/>
        <w:keepNext/>
        <w:pBdr>
          <w:bottom w:val="single" w:color="1B2A5C" w:sz="6" w:space="2"/>
        </w:pBdr>
        <w:spacing w:after="60" w:before="150"/>
      </w:pPr>
      <w:r>
        <w:rPr>
          <w:rFonts w:ascii="Calibri" w:cs="Calibri" w:eastAsia="Calibri" w:hAnsi="Calibri"/>
          <w:b/>
          <w:bCs/>
          <w:color w:val="1B2A5C"/>
          <w:spacing w:val="20"/>
          <w:sz w:val="22"/>
          <w:szCs w:val="22"/>
        </w:rPr>
        <w:t xml:space="preserve">CERTIFICATIONS</w:t>
      </w:r>
    </w:p>
    <w:p>
      <w:pPr>
        <w:spacing w:after="40" w:before="0" w:line="264"/>
        <w:jc w:val="left"/>
      </w:pPr>
      <w:r>
        <w:rPr>
          <w:rFonts w:ascii="Calibri" w:cs="Calibri" w:eastAsia="Calibri" w:hAnsi="Calibri"/>
          <w:sz w:val="20"/>
          <w:szCs w:val="20"/>
        </w:rPr>
        <w:t xml:space="preserve">Certified Information Systems Security Professional (CISSP), ISC2, since 2004  |  Certified in Risk and Information Systems Control (CRISC), ISACA  |  Certified in the Governance of Enterprise IT (CGEIT), ISACA  |  Project Management Professional (PMP), PMI  |  Certified Ethical Hacker (CEH), EC-Council  |  HITRUST Certified CSF Practitioner (CCSFP)  |  Certified CMMC Professional (CCP), Cyber AB  |  Certified ScrumMaster (CSM), Scrum Alliance</w:t>
      </w:r>
    </w:p>
    <w:p>
      <w:pPr>
        <w:pStyle w:val="Heading1"/>
        <w:keepNext/>
        <w:pBdr>
          <w:bottom w:val="single" w:color="1B2A5C" w:sz="6" w:space="2"/>
        </w:pBdr>
        <w:spacing w:after="60" w:before="150"/>
      </w:pPr>
      <w:r>
        <w:rPr>
          <w:rFonts w:ascii="Calibri" w:cs="Calibri" w:eastAsia="Calibri" w:hAnsi="Calibri"/>
          <w:b/>
          <w:bCs/>
          <w:color w:val="1B2A5C"/>
          <w:spacing w:val="20"/>
          <w:sz w:val="22"/>
          <w:szCs w:val="22"/>
        </w:rPr>
        <w:t xml:space="preserve">TECHNICAL SKILLS</w:t>
      </w:r>
    </w:p>
    <w:p>
      <w:pPr>
        <w:spacing w:after="25" w:before="0" w:line="252"/>
        <w:jc w:val="left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Platforms &amp; security tools: </w:t>
      </w:r>
      <w:r>
        <w:rPr>
          <w:rFonts w:ascii="Calibri" w:cs="Calibri" w:eastAsia="Calibri" w:hAnsi="Calibri"/>
          <w:sz w:val="20"/>
          <w:szCs w:val="20"/>
        </w:rPr>
        <w:t xml:space="preserve">Azure (SQL, Key Vault, Data Factory, App Service), SQL Server, Active Directory, Windows Server, Microsoft 365, Power BI, Tableau, SIEM, IDS/IPS, EDR (SentinelOne), Rapid7, ManageEngine, IPAM, BitLocker</w:t>
      </w:r>
    </w:p>
    <w:p>
      <w:pPr>
        <w:spacing w:after="25" w:before="0" w:line="252"/>
        <w:jc w:val="left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Development: </w:t>
      </w:r>
      <w:r>
        <w:rPr>
          <w:rFonts w:ascii="Calibri" w:cs="Calibri" w:eastAsia="Calibri" w:hAnsi="Calibri"/>
          <w:sz w:val="20"/>
          <w:szCs w:val="20"/>
        </w:rPr>
        <w:t xml:space="preserve">C#, .NET 8, ASP.NET Core, Blazor, Entity Framework, SQL, Python, VBA, COBOL</w:t>
      </w:r>
    </w:p>
    <w:p>
      <w:pPr>
        <w:spacing w:after="25" w:before="0" w:line="252"/>
        <w:jc w:val="left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Frameworks &amp; regulations: </w:t>
      </w:r>
      <w:r>
        <w:rPr>
          <w:rFonts w:ascii="Calibri" w:cs="Calibri" w:eastAsia="Calibri" w:hAnsi="Calibri"/>
          <w:sz w:val="20"/>
          <w:szCs w:val="20"/>
        </w:rPr>
        <w:t xml:space="preserve">NIST CSF 2.0, NIST SP 800-53, NIST SP 800-171, CMMC, CIS Controls v8.1, ISO/IEC 27001, HIPAA, HITRUST CSF, GLBA/Regulation P, FFIEC, SOX, PCI DSS, SOC 2, GDPR, FISMA, MITRE ATT&amp;CK, NIST AI RMF, ISA/IEC 62443</w:t>
      </w:r>
    </w:p>
    <w:sectPr>
      <w:headerReference w:type="default" r:id="rId7"/>
      <w:headerReference w:type="first" r:id="rId8"/>
      <w:pgSz w:w="12240" w:h="15840" w:orient="portrait"/>
      <w:pgMar w:top="720" w:right="1008" w:bottom="720" w:left="1008" w:header="432" w:footer="708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Style w:val="PgHeader"/>
      <w:jc w:val="right"/>
    </w:pPr>
    <w:r>
      <w:rPr>
        <w:rFonts w:ascii="Calibri" w:cs="Calibri" w:eastAsia="Calibri" w:hAnsi="Calibri"/>
        <w:color w:val="4A4A4A"/>
        <w:sz w:val="17"/>
        <w:szCs w:val="17"/>
      </w:rPr>
      <w:t xml:space="preserve">William F. Leach Jr.  |  Page </w:t>
    </w:r>
    <w:r>
      <w:rPr>
        <w:rFonts w:ascii="Calibri" w:cs="Calibri" w:eastAsia="Calibri" w:hAnsi="Calibri"/>
        <w:color w:val="4A4A4A"/>
        <w:sz w:val="17"/>
        <w:szCs w:val="17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4A4A4A"/>
        <w:sz w:val="17"/>
        <w:szCs w:val="17"/>
      </w:rPr>
      <w:t xml:space="preserve"> of </w:t>
    </w:r>
    <w:r>
      <w:rPr>
        <w:rFonts w:ascii="Calibri" w:cs="Calibri" w:eastAsia="Calibri" w:hAnsi="Calibri"/>
        <w:color w:val="4A4A4A"/>
        <w:sz w:val="17"/>
        <w:szCs w:val="17"/>
      </w:rPr>
      <w:fldChar w:fldCharType="begin"/>
      <w:instrText xml:space="preserve">NUMPAGES</w:instrText>
      <w:fldChar w:fldCharType="separate"/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00" w:hanging="220"/>
      </w:pPr>
      <w:rPr>
        <w:color w:val="1B2A5C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PgHeader">
    <w:name w:val="Page Header"/>
    <w:basedOn w:val="Normal"/>
    <w:rPr>
      <w:rFonts w:ascii="Calibri" w:cs="Calibri" w:eastAsia="Calibri" w:hAnsi="Calibri"/>
      <w:color w:val="4A4A4A"/>
      <w:sz w:val="17"/>
      <w:szCs w:val="17"/>
    </w:rPr>
  </w:style>
  <w:style w:type="paragraph" w:styleId="Heading1">
    <w:name w:val="Heading 1"/>
    <w:basedOn w:val="Normal"/>
    <w:next w:val="Normal"/>
    <w:qFormat/>
    <w:pPr>
      <w:spacing w:after="70" w:before="170"/>
      <w:outlineLvl w:val="0"/>
    </w:pPr>
    <w:rPr>
      <w:rFonts w:ascii="Calibri" w:cs="Calibri" w:eastAsia="Calibri" w:hAnsi="Calibri"/>
      <w:b/>
      <w:bCs/>
      <w:color w:val="1B2A5C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hrluppybzntyntr2iwprr" Type="http://schemas.openxmlformats.org/officeDocument/2006/relationships/hyperlink" Target="mailto:wfleachjr@icloud.com" TargetMode="External"/><Relationship Id="rIdc3po3p0wwxnpii8b_dvui" Type="http://schemas.openxmlformats.org/officeDocument/2006/relationships/hyperlink" Target="https://www.linkedin.com/in/william-leach-jr-590a6614/" TargetMode="External"/><Relationship Id="rId5rsoo7wcquflf-q8473ti" Type="http://schemas.openxmlformats.org/officeDocument/2006/relationships/hyperlink" Target="https://williamleachjr.com/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William F. Leach Jr. — Resume</dc:title>
  <dc:subject>Chief Information Security Officer | Cyber Assurance &amp; GRC Executive</dc:subject>
  <dc:creator>William F. Leach Jr.</dc:creator>
  <cp:keywords>CISO, cybersecurity, GRC, cyber assurance, vCISO, HITRUST, FFIEC, NIST, CMMC</cp:keywords>
  <dc:description>Resume of William F. Leach Jr. (web edition)</dc:description>
  <cp:lastModifiedBy>William F. Leach Jr.</cp:lastModifiedBy>
  <cp:revision>1</cp:revision>
  <dcterms:created xsi:type="dcterms:W3CDTF">2026-09-28T17:17:58.257Z</dcterms:created>
  <dcterms:modified xsi:type="dcterms:W3CDTF">2026-09-28T17:17:58.268Z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